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jc w:val="right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Додаток до Програми</w:t>
      </w:r>
    </w:p>
    <w:p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Заходи обласної програми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pacing w:val="5"/>
          <w:sz w:val="20"/>
          <w:szCs w:val="20"/>
          <w:lang w:val="uk-UA"/>
        </w:rPr>
        <w:t>розвитку та підтримки комунальних закладів охорони здоров’я Хмельницької обласної ради на 2021 рік</w:t>
      </w:r>
    </w:p>
    <w:tbl>
      <w:tblPr>
        <w:tblpPr w:leftFromText="180" w:rightFromText="180" w:vertAnchor="page" w:horzAnchor="margin" w:tblpXSpec="center" w:tblpY="1591"/>
        <w:tblW w:w="15023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Layout w:type="fixed"/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430"/>
        <w:gridCol w:w="1552"/>
        <w:gridCol w:w="5670"/>
        <w:gridCol w:w="1701"/>
        <w:gridCol w:w="992"/>
        <w:gridCol w:w="1134"/>
        <w:gridCol w:w="1134"/>
        <w:gridCol w:w="2410"/>
      </w:tblGrid>
      <w:tr>
        <w:trPr>
          <w:jc w:val="center"/>
        </w:trPr>
        <w:tc>
          <w:tcPr>
            <w:tcW w:w="430" w:type="dxa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№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52" w:type="dxa"/>
            <w:tcMar>
              <w:left w:w="92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Перелік заходів програми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Відповідальні виконавці</w:t>
            </w:r>
          </w:p>
        </w:tc>
        <w:tc>
          <w:tcPr>
            <w:tcW w:w="9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Строки виконання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Обсяги фінансування на 2021 рік (тис.грн)</w:t>
            </w: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Очікуваний результат</w:t>
            </w:r>
          </w:p>
        </w:tc>
      </w:tr>
      <w:tr>
        <w:trPr>
          <w:jc w:val="center"/>
        </w:trPr>
        <w:tc>
          <w:tcPr>
            <w:tcW w:w="430" w:type="dxa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552" w:type="dxa"/>
            <w:tcMar>
              <w:left w:w="92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>
        <w:trPr>
          <w:trHeight w:val="888"/>
          <w:jc w:val="center"/>
        </w:trPr>
        <w:tc>
          <w:tcPr>
            <w:tcW w:w="430" w:type="dxa"/>
            <w:vMerge w:val="restart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адання якісної високоспеціалізованої допомоги дітям області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pStyle w:val="ab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Надання екстреної та невідкладної допомоги дітям спеціалістами виїзних консультативних бригад невідкладної допомоги та інтенсивної терапії педіатричного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неонатального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профілів.</w:t>
            </w: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дитяча лікарня» Хмельницької обласної ради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Архбудпроєкт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918,7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Забезпечить надання якісної екстреної та швидкої допомоги дорослому та дитячому населенню області. 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Покращить якість надання медичних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послуг,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реабілітаційних послуг дитячому населенню області та підписання пакету медичних гарантій з НСЗУ, якісної стаціонарної невідкладної та паліативної допомоги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Закупівля медикаментів, виробів медичного призначення, реактивів для лабораторних досліджень для забезпечення надання стаціонарної допомоги дітям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1 500,0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0" w:name="_Hlk56513099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траховий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фонд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документації будівництва на об’єкт «Будівництво нового лікувально-діагностичного корпусу Хмельницької обласної дитячої лікарні та реконструкцію існуючого корпусу під поліклініку (1-ша черга)</w:t>
            </w:r>
            <w:bookmarkEnd w:id="0"/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9,0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комп’ютерної техніки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390,0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МІС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520,0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Будівництво нового лікувально-діагностичного корпусу обласної дитячої лікарні (співфінансування)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6 000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492"/>
          <w:jc w:val="center"/>
        </w:trPr>
        <w:tc>
          <w:tcPr>
            <w:tcW w:w="430" w:type="dxa"/>
            <w:vMerge w:val="restart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адання  психіатричної допомоги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pStyle w:val="ab"/>
              <w:spacing w:after="0"/>
              <w:ind w:left="0" w:firstLine="3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Організація проведення судово-психіатричної експертизи </w:t>
            </w: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pStyle w:val="ab"/>
              <w:spacing w:after="0"/>
              <w:ind w:left="17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КНП «Хмельницький обласний заклад з надання психіатричної допомоги»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Хмельницької обласної ради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Обласний, державний бюджет, інші джерела не заборонені законодавством 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161,9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Забезпечить проведення судово-психіатричної експертизи та лікування хворих, до яких застосовано заходи медичного характеру за рішенням суду. Покращить якість надання медичних послуг пацієнтам, забезпечить охорону приймального відділення</w:t>
            </w:r>
          </w:p>
        </w:tc>
      </w:tr>
      <w:tr>
        <w:trPr>
          <w:trHeight w:val="844"/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pStyle w:val="ab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Функціонування відділення з посиленим наглядом для лікування хворих, до яких застосовано заходи медичного характеру за рішенням судів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pStyle w:val="ab"/>
              <w:spacing w:after="0"/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>289,4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500"/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експертиз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стан алкогольного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наркотичного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сп'янінь</w:t>
            </w:r>
            <w:proofErr w:type="spellEnd"/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536"/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ind w:right="-5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охорони</w:t>
            </w:r>
            <w:proofErr w:type="spellEnd"/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Приймального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відділення</w:t>
            </w:r>
            <w:proofErr w:type="spellEnd"/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455,4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20"/>
          <w:jc w:val="center"/>
        </w:trPr>
        <w:tc>
          <w:tcPr>
            <w:tcW w:w="430" w:type="dxa"/>
            <w:vMerge w:val="restart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Зменшення поширеності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інфекційних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хвороб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заходи щодо реалізації сталої відповіді на епідемію туберкульозу,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хіміорезистентного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ВІЛ-інфекції/ СНІДу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ind w:left="-57" w:right="-57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Діагностика ВІЛ серед загального населення області та груп ризику</w:t>
            </w: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КНП «Хмельницький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обласний центр профілактики та боротьби зі СНІДом»  Хмельницької обласної ради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рік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" w:name="__DdeLink__1509_1657799639"/>
            <w:bookmarkEnd w:id="1"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Обласний, державний бюджет, інші джерела не заборонені законодавством 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1 100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Недопущення погіршення епідеміологічної ситуації,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зменшення загальної кількості хворих на ВІЛ-інфекцію/СНІД, зниження рівня захворюваності та смертності від нього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spacing w:line="228" w:lineRule="auto"/>
              <w:ind w:left="-57" w:right="-57"/>
              <w:rPr>
                <w:rFonts w:ascii="Times New Roman" w:hAnsi="Times New Roman" w:cs="Times New Roman"/>
                <w:color w:val="FF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стаціонарної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хоспісної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паліативної допомоги хворим на СНІД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2" w:name="_Hlk54785115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Оплата праці працівникам відповідно до встановлених чинним законодавством умов оплати праці (шкідливі умови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праці;надбавку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за вислугу років в протитуберкульозних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закладах;доплату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до мінімальної заробітної плати),тощо.</w:t>
            </w:r>
            <w:bookmarkEnd w:id="2"/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bottom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протитуберкульозний диспансер»</w:t>
            </w: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2 500</w:t>
            </w: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виплати обов’язкових доплат в рамках чинного законодавства працівникам закладу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3" w:name="_Hlk54785203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Утримання цілодобової охорони для лікування осіб, що отримують замісну підтримуючу терапію в наслідок вживання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опіоідів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, які знаходяться під цілодобовою охороною та на примусовому лікуванні.</w:t>
            </w:r>
            <w:bookmarkEnd w:id="3"/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750</w:t>
            </w: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Забезпечить функціонування закладу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Проведення капітальних робіт по об’єкту  «Реконструкція лікувальних корпусів б. №2с Осташки Хмельницького району для лікування хворих на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стійки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форми туберкульозу (співфінансування)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300,0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Покращення умов праці медичних працівників, покращення умов перебування хворих в закладі та надання якісної медичної допомоги, показників ефективності лікування ,зниження рівня захворюваності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Придбання сучасного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дороговартісного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медичного обладнання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6 750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Фінансування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Голозубинецької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обласної протитуберкульозної лікарні 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3000</w:t>
            </w: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Забезпечить функціонування закладу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>
        <w:trPr>
          <w:jc w:val="center"/>
        </w:trPr>
        <w:tc>
          <w:tcPr>
            <w:tcW w:w="430" w:type="dxa"/>
            <w:vMerge w:val="restart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Боротьба з онкологічними захворюваннями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  <w:t xml:space="preserve">Технічне переоснащення лікувальної кімнати для дистанційної променевої терапії радіологічного відділення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Хмельницького обласного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онкодиспансеру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  <w:t>по вул. Пілотській, 1,  м. Хмельницький (коригування) (співфінансування)</w:t>
            </w: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протипухлинний центр»  Хмельницької обласної ради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8 284,5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Зниження рівня онкологічних захворювань 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uk-UA" w:eastAsia="ru-RU"/>
              </w:rPr>
              <w:t>Капітальний ремонт системи гарячого водопостачання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Хмельницького обласного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онкодиспансеру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по вул. Пілотській, 1, м. Хмельницькій з використанням альтернативних джерел енергозберігаючих технологій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548,5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kern w:val="0"/>
                <w:sz w:val="20"/>
                <w:szCs w:val="20"/>
                <w:lang w:val="uk-UA" w:eastAsia="ru-RU"/>
              </w:rPr>
            </w:pPr>
            <w:bookmarkStart w:id="4" w:name="_Hlk56513453"/>
            <w:r>
              <w:rPr>
                <w:rFonts w:ascii="Times New Roman" w:hAnsi="Times New Roman" w:cs="Times New Roman"/>
                <w:kern w:val="0"/>
                <w:sz w:val="20"/>
                <w:szCs w:val="20"/>
                <w:lang w:val="uk-UA" w:eastAsia="ru-RU"/>
              </w:rPr>
              <w:t>Фінансування центральної цитологічної лабораторії</w:t>
            </w:r>
            <w:bookmarkEnd w:id="4"/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1 250,0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 w:val="restart"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Запобігання та лікування серцево-судинних захворювань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Реконструкція Хмельницького обласного кардіологічного диспансеру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Володимирська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 Хмельницькому </w:t>
            </w: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КНП «Хмельницький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серцево-судинний центр»  Хмельницької обласної ради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2021 рік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й бюджет, інші джерела не заборонені законодавством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35 000,0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Зниження смертності від інсультів та інфарктів міокарда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реанімаційного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автомобіля</w:t>
            </w:r>
            <w:proofErr w:type="spellEnd"/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2 500,0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 w:val="restart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5"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стоматологічної допомоги окремим категоріям населення області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ортопедичної стоматологічної допомоги з поновленням жувальної спроможності із застосуванням зубних протезів у повному обсязі дітям, ветеранам війни, інвалідам І –ІІ групи, вагітним жінкам, особам нагороджених знаком «Почесний донор України», учасники АТО, членам сімей загиблих учасників АТО, пенсіонерам за віком, ветеранам військової служби, органів МВС, їх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вдовам</w:t>
            </w:r>
            <w:proofErr w:type="spellEnd"/>
          </w:p>
          <w:p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Хмельницька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обласна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стоматологічна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поліклініка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2021рік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1 500,0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</w:tcPr>
          <w:p>
            <w:pPr>
              <w:ind w:left="-7" w:firstLine="14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профілактичних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оглядів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>
            <w:pPr>
              <w:pStyle w:val="ab"/>
              <w:numPr>
                <w:ilvl w:val="0"/>
                <w:numId w:val="1"/>
              </w:numPr>
              <w:spacing w:after="0"/>
              <w:ind w:left="-7" w:firstLine="36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Здійснення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рофілактичних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дій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огляд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санація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порожнини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мешканців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будинків-інтернатів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людей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похилого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віку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психоневрологічних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інтернатів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реабілітаційних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центрів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спеціальних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шкіл-інтернатів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>
            <w:pPr>
              <w:pStyle w:val="ab"/>
              <w:numPr>
                <w:ilvl w:val="0"/>
                <w:numId w:val="1"/>
              </w:numPr>
              <w:spacing w:after="0"/>
              <w:ind w:left="-7" w:firstLine="36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профілактичних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дій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санації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порожнини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допризовникам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призовникам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449,3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660,0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терапевтичної та хірургічної стоматологічної допомоги у повному обсязі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маловитратними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технологіями дітям, ветеранам війни, інвалідам І –ІІ групи, вагітним жінкам, особам нагороджених знаком «Почесний донор України», учасники АТО, членам сімей загиблих учасників АТО, пенсіонерам за віком, ветеранам військової служби, органів МВС, їх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вдовам</w:t>
            </w:r>
            <w:proofErr w:type="spellEnd"/>
          </w:p>
          <w:p>
            <w:pPr>
              <w:pStyle w:val="ab"/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Надання невідкладної допомоги  населенню (виведення з гострого стану) 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Ортодонтичні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ортодонтичних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апаратів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протезів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ітям</w:t>
            </w:r>
            <w:proofErr w:type="spellEnd"/>
          </w:p>
        </w:tc>
        <w:tc>
          <w:tcPr>
            <w:tcW w:w="1701" w:type="dxa"/>
            <w:vMerge/>
            <w:tcBorders>
              <w:left w:val="single" w:sz="2" w:space="0" w:color="000001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155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надання екстреної медичної допомоги жителям області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роботи виїзної консультативної бригади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КНП «Хмельницький обласний центр екстреної медичної допомоги та медицини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катастроф»  Хмельницької обласної ради</w:t>
            </w:r>
          </w:p>
        </w:tc>
        <w:tc>
          <w:tcPr>
            <w:tcW w:w="9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2021 рік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Обласний, державний бюджет, інші джерела не заборонені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законодавством 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1 550,0</w:t>
            </w: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Забезпечить надання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виїздної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консультативної допомоги важким пацієнтам в територіальних закладах обласними фахівцями та транспортування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пацієнтів із супроводом до закладів вищого рівня – інститутів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клінік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АМНУ</w:t>
            </w:r>
          </w:p>
        </w:tc>
      </w:tr>
      <w:tr>
        <w:trPr>
          <w:trHeight w:val="505"/>
          <w:jc w:val="center"/>
        </w:trPr>
        <w:tc>
          <w:tcPr>
            <w:tcW w:w="430" w:type="dxa"/>
            <w:vMerge w:val="restart"/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медичної допомоги ветеранам війни в обласному госпіталі ветеранів війни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Закупівля медикаментів та продуктів харчування відповідно до постанови Кабінету Міністрів України від 27.01.2016 №34</w:t>
            </w: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 Хмельницький обласний госпіталь ветеранів війни»  Хмельницької обласної ради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41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Закупівля медикаментів та продуктів харчування відповідно до постанови Кабінету Міністрів України від 27.01.2016 №34</w:t>
            </w:r>
          </w:p>
        </w:tc>
      </w:tr>
      <w:tr>
        <w:trPr>
          <w:trHeight w:val="445"/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Встановлення блискавкозахисту з улаштуванням сітки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блискавкоприймачів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опусків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та заземлення приймачів 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508,6</w:t>
            </w:r>
          </w:p>
        </w:tc>
        <w:tc>
          <w:tcPr>
            <w:tcW w:w="241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385"/>
          <w:jc w:val="center"/>
        </w:trPr>
        <w:tc>
          <w:tcPr>
            <w:tcW w:w="430" w:type="dxa"/>
            <w:vMerge w:val="restart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обласних дитячих санаторіїв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Обласний дитячий спеціалізований санаторій “Світанок” </w:t>
            </w:r>
          </w:p>
        </w:tc>
        <w:tc>
          <w:tcPr>
            <w:tcW w:w="1701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Обласні дитячі санаторії</w:t>
            </w:r>
          </w:p>
        </w:tc>
        <w:tc>
          <w:tcPr>
            <w:tcW w:w="9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рік</w:t>
            </w:r>
          </w:p>
        </w:tc>
        <w:tc>
          <w:tcPr>
            <w:tcW w:w="1134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Обласний, державний бюджет, інші джерела не заборонені законодавством </w:t>
            </w: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3841,4</w:t>
            </w:r>
          </w:p>
        </w:tc>
        <w:tc>
          <w:tcPr>
            <w:tcW w:w="2410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функціонування закладів </w:t>
            </w: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Великожванчицький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обласний дитячий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пульмонологічний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санаторій 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4037,7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Кам’янець-Подільський обласний дитячий спеціалізований санаторій 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2441,2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jc w:val="center"/>
        </w:trPr>
        <w:tc>
          <w:tcPr>
            <w:tcW w:w="430" w:type="dxa"/>
            <w:vMerge/>
            <w:tcMar>
              <w:left w:w="96" w:type="dxa"/>
            </w:tcMar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Староушицький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обласний дитячий санаторій «Дністер»  Хмельницької обласної ради</w:t>
            </w:r>
          </w:p>
        </w:tc>
        <w:tc>
          <w:tcPr>
            <w:tcW w:w="1701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7679,7</w:t>
            </w: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1072"/>
          <w:jc w:val="center"/>
        </w:trPr>
        <w:tc>
          <w:tcPr>
            <w:tcW w:w="430" w:type="dxa"/>
            <w:vMerge w:val="restart"/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5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утримання обласних закладів охорони здоров’я з поетапним оновленням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матеріально-технічної бази</w:t>
            </w: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keepNext/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5" w:name="_Hlk54790126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lastRenderedPageBreak/>
              <w:t>Забезпечення проведення капітальних ремонтів в відділеннях закладу з метою приведення до державних будівельних норм, благоустрій території</w:t>
            </w:r>
            <w:bookmarkEnd w:id="5"/>
          </w:p>
        </w:tc>
        <w:tc>
          <w:tcPr>
            <w:tcW w:w="170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«Хмельницька обласна лікарня»  Хмельницької обласної ради</w:t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22652</w:t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933"/>
          <w:jc w:val="center"/>
        </w:trPr>
        <w:tc>
          <w:tcPr>
            <w:tcW w:w="430" w:type="dxa"/>
            <w:vMerge/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tcBorders>
              <w:left w:val="single" w:sz="2" w:space="0" w:color="000001"/>
            </w:tcBorders>
            <w:tcMar>
              <w:left w:w="96" w:type="dxa"/>
            </w:tcMar>
          </w:tcPr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6" w:name="_Hlk54796300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медичною технікою, діагностичним та іншим обладнанням, автотранспортом відповідно до табелів оснащення заклади охорони здоров’я</w:t>
            </w:r>
            <w:bookmarkEnd w:id="6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, комп’ютерною технікою</w:t>
            </w:r>
          </w:p>
        </w:tc>
        <w:tc>
          <w:tcPr>
            <w:tcW w:w="170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Обласні медичні заклади</w:t>
            </w: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13437,3</w:t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>
        <w:trPr>
          <w:trHeight w:val="1549"/>
          <w:jc w:val="center"/>
        </w:trPr>
        <w:tc>
          <w:tcPr>
            <w:tcW w:w="430" w:type="dxa"/>
            <w:vMerge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vMerge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vAlign w:val="center"/>
          </w:tcPr>
          <w:p>
            <w:pPr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проведення капітальних та поточних видатків з метою покращення матеріально-технічної бази медичних закладів, благоустрій території</w:t>
            </w:r>
          </w:p>
        </w:tc>
        <w:tc>
          <w:tcPr>
            <w:tcW w:w="1701" w:type="dxa"/>
            <w:tcBorders>
              <w:right w:val="single" w:sz="2" w:space="0" w:color="000001"/>
            </w:tcBorders>
            <w:vAlign w:val="center"/>
          </w:tcPr>
          <w:p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Обласні медичні заклади</w:t>
            </w:r>
          </w:p>
          <w:p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Borders>
              <w:right w:val="single" w:sz="2" w:space="0" w:color="000001"/>
            </w:tcBorders>
            <w:tcMar>
              <w:top w:w="0" w:type="dxa"/>
              <w:left w:w="96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10428,9</w:t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top w:w="0" w:type="dxa"/>
              <w:left w:w="94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Покращення умов праці працівників закладів та якості послуг населенню, забезпечення безпеки пацієнтів та працівників.</w:t>
            </w:r>
          </w:p>
        </w:tc>
      </w:tr>
      <w:tr>
        <w:trPr>
          <w:jc w:val="center"/>
        </w:trPr>
        <w:tc>
          <w:tcPr>
            <w:tcW w:w="430" w:type="dxa"/>
            <w:tcBorders>
              <w:right w:val="single" w:sz="2" w:space="0" w:color="000001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552" w:type="dxa"/>
            <w:vMerge/>
            <w:tcBorders>
              <w:left w:val="single" w:sz="2" w:space="0" w:color="000001"/>
            </w:tcBorders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0" w:type="dxa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7" w:name="_Hlk54853750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Забезпечити функціонування КНП «Хмельницький обласний центр громадського здоров’я», зокрема, оплата комунальних послуг</w:t>
            </w:r>
            <w:bookmarkEnd w:id="7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та енергоносіїв</w:t>
            </w:r>
          </w:p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right w:val="single" w:sz="2" w:space="0" w:color="000001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центр громадського здоров’я»</w:t>
            </w:r>
          </w:p>
        </w:tc>
        <w:tc>
          <w:tcPr>
            <w:tcW w:w="992" w:type="dxa"/>
            <w:vMerge/>
            <w:tcBorders>
              <w:left w:val="single" w:sz="2" w:space="0" w:color="000001"/>
            </w:tcBorders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Borders>
              <w:right w:val="single" w:sz="2" w:space="0" w:color="000001"/>
            </w:tcBorders>
            <w:tcMar>
              <w:top w:w="0" w:type="dxa"/>
              <w:left w:w="96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8 916,3</w:t>
            </w:r>
          </w:p>
        </w:tc>
        <w:tc>
          <w:tcPr>
            <w:tcW w:w="2410" w:type="dxa"/>
            <w:tcBorders>
              <w:left w:val="single" w:sz="2" w:space="0" w:color="000001"/>
              <w:right w:val="single" w:sz="2" w:space="0" w:color="000001"/>
            </w:tcBorders>
            <w:tcMar>
              <w:top w:w="0" w:type="dxa"/>
              <w:left w:w="94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функціонування закладу</w:t>
            </w:r>
          </w:p>
        </w:tc>
      </w:tr>
      <w:tr>
        <w:trPr>
          <w:jc w:val="center"/>
        </w:trPr>
        <w:tc>
          <w:tcPr>
            <w:tcW w:w="4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552" w:type="dxa"/>
            <w:tcBorders>
              <w:top w:val="single" w:sz="4" w:space="0" w:color="auto"/>
            </w:tcBorders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утримання обласних закладів охорони здоров’я</w:t>
            </w:r>
          </w:p>
        </w:tc>
        <w:tc>
          <w:tcPr>
            <w:tcW w:w="5670" w:type="dxa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8" w:name="_Hlk54881845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Забезпечити функціонування комунального закладу охорони здоров’я</w:t>
            </w:r>
            <w:bookmarkEnd w:id="8"/>
          </w:p>
        </w:tc>
        <w:tc>
          <w:tcPr>
            <w:tcW w:w="1701" w:type="dxa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патологоанатомічний центр»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Mar>
              <w:top w:w="0" w:type="dxa"/>
              <w:left w:w="96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9 093,5</w:t>
            </w:r>
          </w:p>
        </w:tc>
        <w:tc>
          <w:tcPr>
            <w:tcW w:w="2410" w:type="dxa"/>
            <w:tcMar>
              <w:top w:w="0" w:type="dxa"/>
              <w:left w:w="94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9" w:name="_Hlk54881936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надання послуг населенню за відповідним напрямк</w:t>
            </w:r>
            <w:bookmarkEnd w:id="9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ом</w:t>
            </w:r>
          </w:p>
        </w:tc>
      </w:tr>
      <w:tr>
        <w:trPr>
          <w:jc w:val="center"/>
        </w:trPr>
        <w:tc>
          <w:tcPr>
            <w:tcW w:w="43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552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0" w:name="_Hlk54882680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заходів по призову молоді на строкову службу</w:t>
            </w:r>
            <w:bookmarkEnd w:id="10"/>
          </w:p>
        </w:tc>
        <w:tc>
          <w:tcPr>
            <w:tcW w:w="567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11" w:name="_Hlk54882802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Оплата праці працівників, які відряджаються для роботи у складі постійно діючих військово-лікарських комісій</w:t>
            </w:r>
            <w:bookmarkEnd w:id="11"/>
          </w:p>
        </w:tc>
        <w:tc>
          <w:tcPr>
            <w:tcW w:w="1701" w:type="dxa"/>
            <w:vAlign w:val="center"/>
          </w:tcPr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Медичні заклади</w:t>
            </w:r>
          </w:p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12" w:name="_Hlk54882829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(КНП «Хмельницький обласний заклад з надання психіатричної допомоги»- КНП «Хмельницька обласна стоматологічна поліклініка»- </w:t>
            </w:r>
          </w:p>
          <w:p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lastRenderedPageBreak/>
              <w:t xml:space="preserve">КНП «Хмельницький обласний протитуберкульозний диспансер» - КНП «Хмельницький обласний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дерматовенерологічний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центр» </w:t>
            </w:r>
            <w:bookmarkEnd w:id="12"/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2021 р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Mar>
              <w:top w:w="0" w:type="dxa"/>
              <w:left w:w="96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251,2</w:t>
            </w:r>
          </w:p>
        </w:tc>
        <w:tc>
          <w:tcPr>
            <w:tcW w:w="2410" w:type="dxa"/>
            <w:tcMar>
              <w:top w:w="0" w:type="dxa"/>
              <w:left w:w="94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весняного та осіннього призову на строкову службу</w:t>
            </w:r>
          </w:p>
        </w:tc>
      </w:tr>
      <w:tr>
        <w:trPr>
          <w:jc w:val="center"/>
        </w:trPr>
        <w:tc>
          <w:tcPr>
            <w:tcW w:w="43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3" w:name="_Hlk54882883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Виплата пільгової пенсії</w:t>
            </w:r>
            <w:bookmarkEnd w:id="13"/>
          </w:p>
        </w:tc>
        <w:tc>
          <w:tcPr>
            <w:tcW w:w="56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4" w:name="_Hlk54882927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Забезпечити фінансування видатків на виплату пільгової пенсії медичним працівникам, що працювали в закладах охорони здоров’я</w:t>
            </w:r>
            <w:bookmarkEnd w:id="14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5" w:name="_Hlk54882998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Медичні заклади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заклад з надання психіатричної допомоги»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протитуберкульозний диспансер»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КНП «Хмельницький обласний медичний центр психічного здоров’я» </w:t>
            </w:r>
            <w:bookmarkEnd w:id="15"/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2021 р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бюджет, інші джерела не заборонені законодавством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96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2 433,4</w:t>
            </w:r>
          </w:p>
        </w:tc>
        <w:tc>
          <w:tcPr>
            <w:tcW w:w="24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виконання Закону України «Про пенсійне забезпечення»</w:t>
            </w:r>
          </w:p>
        </w:tc>
      </w:tr>
      <w:tr>
        <w:trPr>
          <w:jc w:val="center"/>
        </w:trPr>
        <w:tc>
          <w:tcPr>
            <w:tcW w:w="43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2" w:type="dxa"/>
            <w:tcBorders>
              <w:top w:val="single" w:sz="4" w:space="0" w:color="auto"/>
            </w:tcBorders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5670" w:type="dxa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Mar>
              <w:top w:w="0" w:type="dxa"/>
              <w:left w:w="96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197 645,4</w:t>
            </w:r>
          </w:p>
        </w:tc>
        <w:tc>
          <w:tcPr>
            <w:tcW w:w="2410" w:type="dxa"/>
            <w:tcMar>
              <w:top w:w="0" w:type="dxa"/>
              <w:left w:w="94" w:type="dxa"/>
              <w:bottom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>
      <w:pPr>
        <w:rPr>
          <w:rFonts w:ascii="Times New Roman" w:hAnsi="Times New Roman" w:cs="Times New Roman"/>
          <w:sz w:val="20"/>
          <w:szCs w:val="20"/>
          <w:lang w:val="uk-UA"/>
        </w:rPr>
      </w:pP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</w:p>
    <w:p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охорони здоров’я облдержадміністрації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Олександр ХУДЕНКО</w:t>
      </w:r>
    </w:p>
    <w:sectPr>
      <w:pgSz w:w="16838" w:h="11906" w:orient="landscape"/>
      <w:pgMar w:top="851" w:right="794" w:bottom="794" w:left="136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C19C0"/>
    <w:multiLevelType w:val="multilevel"/>
    <w:tmpl w:val="0FD6E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C24B03-16EC-4FFE-8C9F-668EB21F6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Liberation Serif"/>
      <w:color w:val="00000A"/>
      <w:kern w:val="2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uiPriority w:val="99"/>
    <w:rPr>
      <w:rFonts w:ascii="Times New Roman" w:hAnsi="Times New Roman" w:cs="Times New Roman"/>
    </w:rPr>
  </w:style>
  <w:style w:type="character" w:customStyle="1" w:styleId="ListLabel2">
    <w:name w:val="ListLabel 2"/>
    <w:uiPriority w:val="99"/>
  </w:style>
  <w:style w:type="character" w:customStyle="1" w:styleId="ListLabel3">
    <w:name w:val="ListLabel 3"/>
    <w:uiPriority w:val="99"/>
  </w:style>
  <w:style w:type="character" w:customStyle="1" w:styleId="ListLabel4">
    <w:name w:val="ListLabel 4"/>
    <w:uiPriority w:val="99"/>
  </w:style>
  <w:style w:type="character" w:customStyle="1" w:styleId="ListLabel5">
    <w:name w:val="ListLabel 5"/>
    <w:uiPriority w:val="99"/>
  </w:style>
  <w:style w:type="character" w:customStyle="1" w:styleId="ListLabel6">
    <w:name w:val="ListLabel 6"/>
    <w:uiPriority w:val="99"/>
  </w:style>
  <w:style w:type="character" w:customStyle="1" w:styleId="ListLabel7">
    <w:name w:val="ListLabel 7"/>
    <w:uiPriority w:val="99"/>
  </w:style>
  <w:style w:type="character" w:customStyle="1" w:styleId="ListLabel8">
    <w:name w:val="ListLabel 8"/>
    <w:uiPriority w:val="99"/>
  </w:style>
  <w:style w:type="character" w:customStyle="1" w:styleId="ListLabel9">
    <w:name w:val="ListLabel 9"/>
    <w:uiPriority w:val="99"/>
  </w:style>
  <w:style w:type="character" w:customStyle="1" w:styleId="ListLabel10">
    <w:name w:val="ListLabel 10"/>
    <w:uiPriority w:val="99"/>
  </w:style>
  <w:style w:type="character" w:customStyle="1" w:styleId="ListLabel11">
    <w:name w:val="ListLabel 11"/>
    <w:uiPriority w:val="99"/>
  </w:style>
  <w:style w:type="character" w:customStyle="1" w:styleId="ListLabel12">
    <w:name w:val="ListLabel 12"/>
    <w:uiPriority w:val="99"/>
  </w:style>
  <w:style w:type="character" w:customStyle="1" w:styleId="ListLabel13">
    <w:name w:val="ListLabel 13"/>
    <w:uiPriority w:val="99"/>
  </w:style>
  <w:style w:type="character" w:customStyle="1" w:styleId="a3">
    <w:name w:val="Текст выноски Знак"/>
    <w:uiPriority w:val="99"/>
    <w:semiHidden/>
    <w:rPr>
      <w:rFonts w:ascii="Segoe UI" w:hAnsi="Segoe UI" w:cs="Segoe UI"/>
      <w:color w:val="00000A"/>
      <w:sz w:val="16"/>
      <w:szCs w:val="16"/>
    </w:rPr>
  </w:style>
  <w:style w:type="paragraph" w:customStyle="1" w:styleId="1">
    <w:name w:val="Заголовок1"/>
    <w:basedOn w:val="a"/>
    <w:next w:val="a4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5"/>
    <w:uiPriority w:val="99"/>
    <w:pPr>
      <w:spacing w:after="140" w:line="288" w:lineRule="auto"/>
    </w:pPr>
  </w:style>
  <w:style w:type="character" w:customStyle="1" w:styleId="a5">
    <w:name w:val="Основной текст Знак"/>
    <w:link w:val="a4"/>
    <w:uiPriority w:val="99"/>
    <w:semiHidden/>
    <w:locked/>
    <w:rPr>
      <w:color w:val="00000A"/>
      <w:kern w:val="2"/>
      <w:sz w:val="21"/>
      <w:szCs w:val="21"/>
      <w:lang w:eastAsia="zh-CN"/>
    </w:rPr>
  </w:style>
  <w:style w:type="paragraph" w:styleId="a6">
    <w:name w:val="List"/>
    <w:basedOn w:val="a4"/>
    <w:uiPriority w:val="99"/>
  </w:style>
  <w:style w:type="paragraph" w:styleId="a7">
    <w:name w:val="caption"/>
    <w:basedOn w:val="a"/>
    <w:uiPriority w:val="99"/>
    <w:qFormat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8">
    <w:name w:val="index heading"/>
    <w:basedOn w:val="a"/>
    <w:uiPriority w:val="99"/>
    <w:semiHidden/>
    <w:pPr>
      <w:suppressLineNumbers/>
    </w:pPr>
  </w:style>
  <w:style w:type="paragraph" w:styleId="a9">
    <w:name w:val="Title"/>
    <w:basedOn w:val="a"/>
    <w:link w:val="aa"/>
    <w:uiPriority w:val="99"/>
    <w:qFormat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aa">
    <w:name w:val="Заголовок Знак"/>
    <w:link w:val="a9"/>
    <w:uiPriority w:val="99"/>
    <w:locked/>
    <w:rPr>
      <w:rFonts w:ascii="Cambria" w:hAnsi="Cambria" w:cs="Cambria"/>
      <w:b/>
      <w:bCs/>
      <w:color w:val="00000A"/>
      <w:kern w:val="28"/>
      <w:sz w:val="29"/>
      <w:szCs w:val="29"/>
      <w:lang w:eastAsia="zh-CN"/>
    </w:rPr>
  </w:style>
  <w:style w:type="paragraph" w:styleId="ab">
    <w:name w:val="List Paragraph"/>
    <w:basedOn w:val="a"/>
    <w:uiPriority w:val="34"/>
    <w:qFormat/>
    <w:pPr>
      <w:spacing w:after="200"/>
      <w:ind w:left="720"/>
    </w:pPr>
  </w:style>
  <w:style w:type="paragraph" w:customStyle="1" w:styleId="ac">
    <w:name w:val="Содержимое таблицы"/>
    <w:basedOn w:val="a"/>
    <w:uiPriority w:val="99"/>
    <w:pPr>
      <w:suppressLineNumbers/>
    </w:pPr>
  </w:style>
  <w:style w:type="paragraph" w:customStyle="1" w:styleId="ad">
    <w:name w:val="Заголовок таблицы"/>
    <w:basedOn w:val="ac"/>
    <w:uiPriority w:val="99"/>
    <w:pPr>
      <w:jc w:val="center"/>
    </w:pPr>
    <w:rPr>
      <w:b/>
      <w:bCs/>
    </w:rPr>
  </w:style>
  <w:style w:type="paragraph" w:styleId="ae">
    <w:name w:val="Balloon Text"/>
    <w:basedOn w:val="a"/>
    <w:link w:val="11"/>
    <w:uiPriority w:val="99"/>
    <w:semiHidden/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link w:val="ae"/>
    <w:uiPriority w:val="99"/>
    <w:semiHidden/>
    <w:locked/>
    <w:rPr>
      <w:rFonts w:ascii="Times New Roman" w:hAnsi="Times New Roman" w:cs="Times New Roman"/>
      <w:color w:val="00000A"/>
      <w:kern w:val="2"/>
      <w:sz w:val="2"/>
      <w:szCs w:val="2"/>
      <w:lang w:eastAsia="zh-CN"/>
    </w:rPr>
  </w:style>
  <w:style w:type="character" w:styleId="af">
    <w:name w:val="annotation reference"/>
    <w:uiPriority w:val="99"/>
    <w:semiHidden/>
    <w:unhideWhenUsed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Pr>
      <w:rFonts w:cs="Liberation Serif"/>
      <w:color w:val="00000A"/>
      <w:kern w:val="2"/>
      <w:lang w:val="ru-RU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Pr>
      <w:rFonts w:cs="Liberation Serif"/>
      <w:b/>
      <w:bCs/>
      <w:color w:val="00000A"/>
      <w:kern w:val="2"/>
      <w:lang w:val="ru-RU" w:eastAsia="zh-CN"/>
    </w:rPr>
  </w:style>
  <w:style w:type="paragraph" w:customStyle="1" w:styleId="12">
    <w:name w:val="Знак Знак1"/>
    <w:basedOn w:val="a"/>
    <w:rPr>
      <w:rFonts w:ascii="Verdana" w:eastAsia="Times New Roman" w:hAnsi="Verdana" w:cs="Verdana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B616-0B1C-4CD4-9B78-2171AB5A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7356</Words>
  <Characters>4193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Заходи обласної Програми розвитку та підтримки комунальних закладів охорони здоров’я Хмельницької обласної ради на 2020 рік</vt:lpstr>
      <vt:lpstr>Заходи обласної Програми розвитку та підтримки комунальних закладів охорони здоров’я Хмельницької обласної ради на 2020 рік</vt:lpstr>
    </vt:vector>
  </TitlesOfParts>
  <Company>diakov.net</Company>
  <LinksUpToDate>false</LinksUpToDate>
  <CharactersWithSpaces>11526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 обласної Програми розвитку та підтримки комунальних закладів охорони здоров’я Хмельницької обласної ради на 2020 рік</dc:title>
  <dc:creator>RePack by Diakov</dc:creator>
  <cp:lastModifiedBy>Іванова</cp:lastModifiedBy>
  <cp:revision>6</cp:revision>
  <cp:lastPrinted>2020-12-26T09:47:00Z</cp:lastPrinted>
  <dcterms:created xsi:type="dcterms:W3CDTF">2020-11-25T15:04:00Z</dcterms:created>
  <dcterms:modified xsi:type="dcterms:W3CDTF">2020-12-26T09:48:00Z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